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28" w:rsidRPr="00B24B28" w:rsidRDefault="00B24B28" w:rsidP="00B24B28">
      <w:pPr>
        <w:spacing w:before="36" w:after="36"/>
        <w:jc w:val="both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r w:rsidRPr="00B24B28">
        <w:rPr>
          <w:rFonts w:ascii="Times New Roman" w:eastAsia="標楷體" w:hAnsi="標楷體" w:cs="Times New Roman"/>
          <w:sz w:val="28"/>
          <w:szCs w:val="28"/>
        </w:rPr>
        <w:t>附表</w:t>
      </w:r>
      <w:r w:rsidRPr="00B24B28">
        <w:rPr>
          <w:rFonts w:ascii="Times New Roman" w:eastAsia="標楷體" w:hAnsi="標楷體" w:cs="Times New Roman" w:hint="eastAsia"/>
          <w:sz w:val="28"/>
          <w:szCs w:val="28"/>
        </w:rPr>
        <w:t>、桃園縣</w:t>
      </w:r>
      <w:r w:rsidRPr="00B24B28">
        <w:rPr>
          <w:rFonts w:ascii="Times New Roman" w:eastAsia="標楷體" w:hAnsi="標楷體" w:cs="Times New Roman"/>
          <w:sz w:val="28"/>
          <w:szCs w:val="28"/>
        </w:rPr>
        <w:t>都市更新</w:t>
      </w:r>
      <w:r w:rsidRPr="00B24B28">
        <w:rPr>
          <w:rFonts w:ascii="Times New Roman" w:eastAsia="標楷體" w:hAnsi="標楷體" w:cs="Times New Roman" w:hint="eastAsia"/>
          <w:sz w:val="28"/>
          <w:szCs w:val="28"/>
        </w:rPr>
        <w:t>事業之</w:t>
      </w:r>
      <w:r w:rsidRPr="00B24B28">
        <w:rPr>
          <w:rFonts w:ascii="Times New Roman" w:eastAsia="標楷體" w:hAnsi="標楷體" w:cs="Times New Roman"/>
          <w:sz w:val="28"/>
          <w:szCs w:val="28"/>
        </w:rPr>
        <w:t>整建或維護補助項目</w:t>
      </w:r>
      <w:bookmarkEnd w:id="0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50"/>
        <w:gridCol w:w="4678"/>
        <w:gridCol w:w="1843"/>
      </w:tblGrid>
      <w:tr w:rsidR="00B24B28" w:rsidRPr="00B24B28" w:rsidTr="009A488B">
        <w:tc>
          <w:tcPr>
            <w:tcW w:w="1418" w:type="dxa"/>
            <w:shd w:val="clear" w:color="auto" w:fill="E0E0E0"/>
          </w:tcPr>
          <w:p w:rsidR="00B24B28" w:rsidRPr="00B24B28" w:rsidRDefault="00B24B28" w:rsidP="00B24B28">
            <w:pPr>
              <w:adjustRightIn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  <w:shd w:val="pct15" w:color="auto" w:fill="FFFFFF"/>
              </w:rPr>
              <w:t>類別</w:t>
            </w:r>
          </w:p>
        </w:tc>
        <w:tc>
          <w:tcPr>
            <w:tcW w:w="850" w:type="dxa"/>
            <w:shd w:val="clear" w:color="auto" w:fill="E0E0E0"/>
          </w:tcPr>
          <w:p w:rsidR="00B24B28" w:rsidRPr="00B24B28" w:rsidRDefault="00B24B28" w:rsidP="00B24B28">
            <w:pPr>
              <w:adjustRightIn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  <w:shd w:val="pct15" w:color="auto" w:fill="FFFFFF"/>
              </w:rPr>
              <w:t>評估指標</w:t>
            </w:r>
          </w:p>
        </w:tc>
        <w:tc>
          <w:tcPr>
            <w:tcW w:w="4678" w:type="dxa"/>
            <w:shd w:val="clear" w:color="auto" w:fill="E0E0E0"/>
          </w:tcPr>
          <w:p w:rsidR="00B24B28" w:rsidRPr="00B24B28" w:rsidRDefault="00B24B28" w:rsidP="00B24B28">
            <w:pPr>
              <w:adjustRightIn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  <w:shd w:val="pct15" w:color="auto" w:fill="FFFFFF"/>
              </w:rPr>
              <w:t>補助項目</w:t>
            </w:r>
          </w:p>
        </w:tc>
        <w:tc>
          <w:tcPr>
            <w:tcW w:w="1843" w:type="dxa"/>
            <w:shd w:val="clear" w:color="auto" w:fill="E0E0E0"/>
          </w:tcPr>
          <w:p w:rsidR="00B24B28" w:rsidRPr="00B24B28" w:rsidRDefault="00B24B28" w:rsidP="00B24B28">
            <w:pPr>
              <w:adjustRightIn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  <w:shd w:val="pct15" w:color="auto" w:fill="FFFFFF"/>
              </w:rPr>
              <w:t>備註</w:t>
            </w:r>
          </w:p>
        </w:tc>
      </w:tr>
      <w:tr w:rsidR="00B24B28" w:rsidRPr="00B24B28" w:rsidTr="009A488B">
        <w:tc>
          <w:tcPr>
            <w:tcW w:w="1418" w:type="dxa"/>
            <w:vMerge w:val="restart"/>
          </w:tcPr>
          <w:p w:rsidR="00B24B28" w:rsidRPr="00B24B28" w:rsidRDefault="00B24B28" w:rsidP="00B24B28">
            <w:pPr>
              <w:adjustRightInd w:val="0"/>
              <w:spacing w:line="420" w:lineRule="exact"/>
              <w:ind w:left="470" w:rightChars="-45" w:right="-108" w:hangingChars="168" w:hanging="47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一、建築物外部</w:t>
            </w:r>
          </w:p>
        </w:tc>
        <w:tc>
          <w:tcPr>
            <w:tcW w:w="850" w:type="dxa"/>
            <w:vAlign w:val="center"/>
          </w:tcPr>
          <w:p w:rsidR="00B24B28" w:rsidRPr="00B24B28" w:rsidRDefault="00B24B28" w:rsidP="00B24B28">
            <w:pPr>
              <w:tabs>
                <w:tab w:val="left" w:pos="34"/>
              </w:tabs>
              <w:adjustRightInd w:val="0"/>
              <w:spacing w:line="420" w:lineRule="exact"/>
              <w:ind w:left="34" w:hangingChars="12" w:hanging="3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公共安全</w:t>
            </w:r>
          </w:p>
        </w:tc>
        <w:tc>
          <w:tcPr>
            <w:tcW w:w="4678" w:type="dxa"/>
          </w:tcPr>
          <w:p w:rsidR="00B24B28" w:rsidRPr="00B24B28" w:rsidRDefault="00B24B28" w:rsidP="00B24B28">
            <w:pPr>
              <w:adjustRightInd w:val="0"/>
              <w:spacing w:line="420" w:lineRule="exact"/>
              <w:ind w:left="266" w:hangingChars="95" w:hanging="26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1.防火間隔或社區道路綠美化工程。</w:t>
            </w:r>
          </w:p>
          <w:p w:rsidR="00B24B28" w:rsidRPr="00B24B28" w:rsidRDefault="00B24B28" w:rsidP="00B24B28">
            <w:pPr>
              <w:adjustRightInd w:val="0"/>
              <w:spacing w:line="420" w:lineRule="exact"/>
              <w:ind w:left="924" w:hangingChars="330" w:hanging="92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2.騎樓整平或門廊修繕工程。</w:t>
            </w:r>
          </w:p>
        </w:tc>
        <w:tc>
          <w:tcPr>
            <w:tcW w:w="1843" w:type="dxa"/>
          </w:tcPr>
          <w:p w:rsidR="00B24B28" w:rsidRPr="00B24B28" w:rsidRDefault="00B24B28" w:rsidP="009A488B">
            <w:pPr>
              <w:adjustRightInd w:val="0"/>
              <w:spacing w:line="420" w:lineRule="exact"/>
              <w:ind w:left="7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申請騎樓整平補助項目時，至少以一完整街廓</w:t>
            </w: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路段</w:t>
            </w: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為原則。</w:t>
            </w:r>
          </w:p>
        </w:tc>
      </w:tr>
      <w:tr w:rsidR="00B24B28" w:rsidRPr="00B24B28" w:rsidTr="009A488B">
        <w:trPr>
          <w:trHeight w:val="1399"/>
        </w:trPr>
        <w:tc>
          <w:tcPr>
            <w:tcW w:w="1418" w:type="dxa"/>
            <w:vMerge/>
          </w:tcPr>
          <w:p w:rsidR="00B24B28" w:rsidRPr="00B24B28" w:rsidRDefault="00B24B28" w:rsidP="00B24B28">
            <w:pPr>
              <w:adjustRightIn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4B28" w:rsidRPr="00B24B28" w:rsidRDefault="00B24B28" w:rsidP="00B24B28">
            <w:pPr>
              <w:adjustRightIn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環境景觀</w:t>
            </w:r>
          </w:p>
        </w:tc>
        <w:tc>
          <w:tcPr>
            <w:tcW w:w="4678" w:type="dxa"/>
          </w:tcPr>
          <w:p w:rsidR="00B24B28" w:rsidRPr="00B24B28" w:rsidRDefault="00B24B28" w:rsidP="00B24B28">
            <w:pPr>
              <w:adjustRightInd w:val="0"/>
              <w:spacing w:line="420" w:lineRule="exact"/>
              <w:ind w:left="924" w:hangingChars="330" w:hanging="92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proofErr w:type="gramStart"/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無遮簷</w:t>
            </w:r>
            <w:proofErr w:type="gramEnd"/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人行道植栽綠美化工程。</w:t>
            </w:r>
          </w:p>
          <w:p w:rsidR="00B24B28" w:rsidRPr="00B24B28" w:rsidRDefault="00B24B28" w:rsidP="00B24B28">
            <w:pPr>
              <w:adjustRightInd w:val="0"/>
              <w:spacing w:line="420" w:lineRule="exact"/>
              <w:ind w:left="924" w:hangingChars="330" w:hanging="92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proofErr w:type="gramStart"/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無遮簷人行道舖</w:t>
            </w:r>
            <w:proofErr w:type="gramEnd"/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面工程。</w:t>
            </w:r>
          </w:p>
          <w:p w:rsidR="00B24B28" w:rsidRPr="00B24B28" w:rsidRDefault="00B24B28" w:rsidP="00B24B28">
            <w:pPr>
              <w:adjustRightInd w:val="0"/>
              <w:spacing w:line="420" w:lineRule="exact"/>
              <w:ind w:left="924" w:hangingChars="330" w:hanging="92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  <w:proofErr w:type="gramStart"/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無遮簷</w:t>
            </w:r>
            <w:proofErr w:type="gramEnd"/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人行道街道家具設施。</w:t>
            </w:r>
          </w:p>
        </w:tc>
        <w:tc>
          <w:tcPr>
            <w:tcW w:w="1843" w:type="dxa"/>
          </w:tcPr>
          <w:p w:rsidR="00B24B28" w:rsidRPr="00B24B28" w:rsidRDefault="00B24B28" w:rsidP="00B24B28">
            <w:pPr>
              <w:adjustRightIn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24B28" w:rsidRPr="00B24B28" w:rsidTr="009A488B">
        <w:trPr>
          <w:trHeight w:val="694"/>
        </w:trPr>
        <w:tc>
          <w:tcPr>
            <w:tcW w:w="1418" w:type="dxa"/>
            <w:vMerge/>
          </w:tcPr>
          <w:p w:rsidR="00B24B28" w:rsidRPr="00B24B28" w:rsidRDefault="00B24B28" w:rsidP="00B24B28">
            <w:pPr>
              <w:adjustRightIn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4B28" w:rsidRPr="00B24B28" w:rsidRDefault="00B24B28" w:rsidP="00B24B28">
            <w:pPr>
              <w:adjustRightIn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</w:p>
        </w:tc>
        <w:tc>
          <w:tcPr>
            <w:tcW w:w="4678" w:type="dxa"/>
            <w:vAlign w:val="center"/>
          </w:tcPr>
          <w:p w:rsidR="00B24B28" w:rsidRPr="00B24B28" w:rsidRDefault="00B24B28" w:rsidP="009A488B">
            <w:pPr>
              <w:adjustRightInd w:val="0"/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經審議會審議通過並經本府核定者。</w:t>
            </w:r>
          </w:p>
        </w:tc>
        <w:tc>
          <w:tcPr>
            <w:tcW w:w="1843" w:type="dxa"/>
          </w:tcPr>
          <w:p w:rsidR="00B24B28" w:rsidRPr="00B24B28" w:rsidRDefault="00B24B28" w:rsidP="00B24B28">
            <w:pPr>
              <w:adjustRightIn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24B28" w:rsidRPr="00B24B28" w:rsidTr="009A488B">
        <w:trPr>
          <w:trHeight w:val="1427"/>
        </w:trPr>
        <w:tc>
          <w:tcPr>
            <w:tcW w:w="1418" w:type="dxa"/>
            <w:vMerge w:val="restart"/>
          </w:tcPr>
          <w:p w:rsidR="00B24B28" w:rsidRPr="00B24B28" w:rsidRDefault="00B24B28" w:rsidP="00B24B28">
            <w:pPr>
              <w:adjustRightInd w:val="0"/>
              <w:spacing w:line="420" w:lineRule="exact"/>
              <w:ind w:left="470" w:rightChars="-45" w:right="-108" w:hangingChars="168" w:hanging="47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二、建築物本體及內部</w:t>
            </w:r>
          </w:p>
        </w:tc>
        <w:tc>
          <w:tcPr>
            <w:tcW w:w="850" w:type="dxa"/>
            <w:vAlign w:val="center"/>
          </w:tcPr>
          <w:p w:rsidR="00B24B28" w:rsidRPr="00B24B28" w:rsidRDefault="00B24B28" w:rsidP="00B24B28">
            <w:pPr>
              <w:adjustRightInd w:val="0"/>
              <w:spacing w:line="4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24B28">
              <w:rPr>
                <w:rFonts w:ascii="Times New Roman" w:eastAsia="標楷體" w:hAnsi="Times New Roman" w:cs="Times New Roman" w:hint="eastAsia"/>
                <w:w w:val="85"/>
                <w:kern w:val="0"/>
                <w:sz w:val="28"/>
                <w:szCs w:val="28"/>
                <w:fitText w:val="480" w:id="720604672"/>
              </w:rPr>
              <w:t>公</w:t>
            </w:r>
            <w:r w:rsidRPr="00B24B28">
              <w:rPr>
                <w:rFonts w:ascii="Times New Roman" w:eastAsia="標楷體" w:hAnsi="Times New Roman" w:cs="Times New Roman" w:hint="eastAsia"/>
                <w:spacing w:val="2"/>
                <w:w w:val="85"/>
                <w:kern w:val="0"/>
                <w:sz w:val="28"/>
                <w:szCs w:val="28"/>
                <w:fitText w:val="480" w:id="720604672"/>
              </w:rPr>
              <w:t>共</w:t>
            </w:r>
          </w:p>
          <w:p w:rsidR="00B24B28" w:rsidRPr="00B24B28" w:rsidRDefault="00B24B28" w:rsidP="00B24B28">
            <w:pPr>
              <w:adjustRightIn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B28">
              <w:rPr>
                <w:rFonts w:ascii="Times New Roman" w:eastAsia="標楷體" w:hAnsi="Times New Roman" w:cs="Times New Roman" w:hint="eastAsia"/>
                <w:w w:val="85"/>
                <w:kern w:val="0"/>
                <w:sz w:val="28"/>
                <w:szCs w:val="28"/>
                <w:fitText w:val="480" w:id="720604673"/>
              </w:rPr>
              <w:t>安</w:t>
            </w:r>
            <w:r w:rsidRPr="00B24B28">
              <w:rPr>
                <w:rFonts w:ascii="Times New Roman" w:eastAsia="標楷體" w:hAnsi="Times New Roman" w:cs="Times New Roman" w:hint="eastAsia"/>
                <w:spacing w:val="2"/>
                <w:w w:val="85"/>
                <w:kern w:val="0"/>
                <w:sz w:val="28"/>
                <w:szCs w:val="28"/>
                <w:fitText w:val="480" w:id="720604673"/>
              </w:rPr>
              <w:t>全</w:t>
            </w:r>
          </w:p>
        </w:tc>
        <w:tc>
          <w:tcPr>
            <w:tcW w:w="4678" w:type="dxa"/>
          </w:tcPr>
          <w:p w:rsidR="00B24B28" w:rsidRPr="00B24B28" w:rsidRDefault="00B24B28" w:rsidP="00B24B28">
            <w:pPr>
              <w:adjustRightInd w:val="0"/>
              <w:spacing w:line="420" w:lineRule="exact"/>
              <w:ind w:left="266" w:hangingChars="95" w:hanging="26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1.供公眾使用之防火避難設施或消防設備。</w:t>
            </w:r>
          </w:p>
          <w:p w:rsidR="00B24B28" w:rsidRPr="00B24B28" w:rsidRDefault="00B24B28" w:rsidP="00B24B28">
            <w:pPr>
              <w:adjustRightInd w:val="0"/>
              <w:spacing w:line="420" w:lineRule="exact"/>
              <w:ind w:left="924" w:hangingChars="330" w:hanging="92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2.供公眾使用之無障礙設施。</w:t>
            </w:r>
          </w:p>
        </w:tc>
        <w:tc>
          <w:tcPr>
            <w:tcW w:w="1843" w:type="dxa"/>
          </w:tcPr>
          <w:p w:rsidR="00B24B28" w:rsidRPr="00B24B28" w:rsidRDefault="00B24B28" w:rsidP="00B24B28">
            <w:pPr>
              <w:adjustRightIn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24B28" w:rsidRPr="00B24B28" w:rsidTr="009A488B">
        <w:trPr>
          <w:trHeight w:val="3543"/>
        </w:trPr>
        <w:tc>
          <w:tcPr>
            <w:tcW w:w="1418" w:type="dxa"/>
            <w:vMerge/>
          </w:tcPr>
          <w:p w:rsidR="00B24B28" w:rsidRPr="00B24B28" w:rsidRDefault="00B24B28" w:rsidP="00B24B28">
            <w:pPr>
              <w:adjustRightIn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4B28" w:rsidRPr="00B24B28" w:rsidRDefault="00B24B28" w:rsidP="00B24B28">
            <w:pPr>
              <w:adjustRightInd w:val="0"/>
              <w:spacing w:line="4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24B28">
              <w:rPr>
                <w:rFonts w:ascii="Times New Roman" w:eastAsia="標楷體" w:hAnsi="Times New Roman" w:cs="Times New Roman" w:hint="eastAsia"/>
                <w:w w:val="85"/>
                <w:kern w:val="0"/>
                <w:sz w:val="28"/>
                <w:szCs w:val="28"/>
                <w:fitText w:val="480" w:id="720604674"/>
              </w:rPr>
              <w:t>環</w:t>
            </w:r>
            <w:r w:rsidRPr="00B24B28">
              <w:rPr>
                <w:rFonts w:ascii="Times New Roman" w:eastAsia="標楷體" w:hAnsi="Times New Roman" w:cs="Times New Roman" w:hint="eastAsia"/>
                <w:spacing w:val="2"/>
                <w:w w:val="85"/>
                <w:kern w:val="0"/>
                <w:sz w:val="28"/>
                <w:szCs w:val="28"/>
                <w:fitText w:val="480" w:id="720604674"/>
              </w:rPr>
              <w:t>境</w:t>
            </w:r>
          </w:p>
          <w:p w:rsidR="00B24B28" w:rsidRPr="00B24B28" w:rsidRDefault="00B24B28" w:rsidP="00B24B28">
            <w:pPr>
              <w:adjustRightIn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B28">
              <w:rPr>
                <w:rFonts w:ascii="Times New Roman" w:eastAsia="標楷體" w:hAnsi="Times New Roman" w:cs="Times New Roman" w:hint="eastAsia"/>
                <w:w w:val="85"/>
                <w:kern w:val="0"/>
                <w:sz w:val="28"/>
                <w:szCs w:val="28"/>
                <w:fitText w:val="480" w:id="720604675"/>
              </w:rPr>
              <w:t>景</w:t>
            </w:r>
            <w:r w:rsidRPr="00B24B28">
              <w:rPr>
                <w:rFonts w:ascii="Times New Roman" w:eastAsia="標楷體" w:hAnsi="Times New Roman" w:cs="Times New Roman" w:hint="eastAsia"/>
                <w:spacing w:val="2"/>
                <w:w w:val="85"/>
                <w:kern w:val="0"/>
                <w:sz w:val="28"/>
                <w:szCs w:val="28"/>
                <w:fitText w:val="480" w:id="720604675"/>
              </w:rPr>
              <w:t>觀</w:t>
            </w:r>
          </w:p>
        </w:tc>
        <w:tc>
          <w:tcPr>
            <w:tcW w:w="4678" w:type="dxa"/>
          </w:tcPr>
          <w:p w:rsidR="00B24B28" w:rsidRPr="00B24B28" w:rsidRDefault="00B24B28" w:rsidP="00B24B28">
            <w:pPr>
              <w:adjustRightInd w:val="0"/>
              <w:spacing w:line="420" w:lineRule="exact"/>
              <w:ind w:left="924" w:hangingChars="330" w:hanging="92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1.公共走道或樓梯修繕工程。</w:t>
            </w:r>
          </w:p>
          <w:p w:rsidR="00B24B28" w:rsidRPr="00B24B28" w:rsidRDefault="00B24B28" w:rsidP="009A488B">
            <w:pPr>
              <w:adjustRightInd w:val="0"/>
              <w:spacing w:line="420" w:lineRule="exact"/>
              <w:ind w:left="266" w:hangingChars="95" w:hanging="26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2.通往室外之通路或門廳修繕工程。</w:t>
            </w:r>
          </w:p>
          <w:p w:rsidR="00B24B28" w:rsidRPr="00B24B28" w:rsidRDefault="00B24B28" w:rsidP="00B24B28">
            <w:pPr>
              <w:adjustRightInd w:val="0"/>
              <w:spacing w:line="420" w:lineRule="exact"/>
              <w:ind w:left="924" w:hangingChars="330" w:hanging="92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3.陽臺或露</w:t>
            </w:r>
            <w:proofErr w:type="gramStart"/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綠美化工程。</w:t>
            </w:r>
          </w:p>
          <w:p w:rsidR="00B24B28" w:rsidRPr="00B24B28" w:rsidRDefault="00B24B28" w:rsidP="00B24B28">
            <w:pPr>
              <w:adjustRightInd w:val="0"/>
              <w:spacing w:line="420" w:lineRule="exact"/>
              <w:ind w:left="924" w:hangingChars="330" w:hanging="92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4.屋頂平</w:t>
            </w:r>
            <w:proofErr w:type="gramStart"/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綠美化工程。</w:t>
            </w:r>
          </w:p>
          <w:p w:rsidR="00B24B28" w:rsidRPr="00B24B28" w:rsidRDefault="00B24B28" w:rsidP="00B24B28">
            <w:pPr>
              <w:adjustRightInd w:val="0"/>
              <w:spacing w:line="420" w:lineRule="exact"/>
              <w:ind w:left="266" w:hangingChars="95" w:hanging="26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5.建築物立面修繕工程（含廣告招牌整理、外牆清洗、鐵窗拆除、空調、外部管線整理美化等工程）。</w:t>
            </w:r>
          </w:p>
          <w:p w:rsidR="00B24B28" w:rsidRPr="00B24B28" w:rsidRDefault="00B24B28" w:rsidP="00B24B28">
            <w:pPr>
              <w:adjustRightInd w:val="0"/>
              <w:spacing w:line="420" w:lineRule="exact"/>
              <w:ind w:left="924" w:hangingChars="330" w:hanging="92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6.建築物外部門窗修繕工程。</w:t>
            </w:r>
          </w:p>
        </w:tc>
        <w:tc>
          <w:tcPr>
            <w:tcW w:w="1843" w:type="dxa"/>
          </w:tcPr>
          <w:p w:rsidR="00B24B28" w:rsidRPr="00B24B28" w:rsidRDefault="00B24B28" w:rsidP="009A488B">
            <w:pPr>
              <w:adjustRightInd w:val="0"/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建築物外部門窗修繕工程，至少以一幢建築物為原則。</w:t>
            </w:r>
          </w:p>
        </w:tc>
      </w:tr>
      <w:tr w:rsidR="00B24B28" w:rsidRPr="00B24B28" w:rsidTr="009A488B">
        <w:trPr>
          <w:trHeight w:val="1032"/>
        </w:trPr>
        <w:tc>
          <w:tcPr>
            <w:tcW w:w="1418" w:type="dxa"/>
            <w:vMerge/>
          </w:tcPr>
          <w:p w:rsidR="00B24B28" w:rsidRPr="00B24B28" w:rsidRDefault="00B24B28" w:rsidP="00B24B28">
            <w:pPr>
              <w:adjustRightIn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4B28" w:rsidRPr="00B24B28" w:rsidRDefault="00B24B28" w:rsidP="00B24B28">
            <w:pPr>
              <w:adjustRightInd w:val="0"/>
              <w:spacing w:line="4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24B2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機能</w:t>
            </w:r>
          </w:p>
          <w:p w:rsidR="00B24B28" w:rsidRPr="00B24B28" w:rsidRDefault="00B24B28" w:rsidP="00B24B28">
            <w:pPr>
              <w:adjustRightInd w:val="0"/>
              <w:spacing w:line="4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24B2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改善</w:t>
            </w:r>
          </w:p>
        </w:tc>
        <w:tc>
          <w:tcPr>
            <w:tcW w:w="4678" w:type="dxa"/>
            <w:vAlign w:val="center"/>
          </w:tcPr>
          <w:p w:rsidR="00B24B28" w:rsidRPr="00B24B28" w:rsidRDefault="00B24B28" w:rsidP="00B24B28">
            <w:pPr>
              <w:adjustRightIn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四層樓以上之合法集合住宅建築物增設</w:t>
            </w:r>
            <w:proofErr w:type="gramStart"/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昇</w:t>
            </w:r>
            <w:proofErr w:type="gramEnd"/>
            <w:r w:rsidRPr="00B24B28">
              <w:rPr>
                <w:rFonts w:ascii="標楷體" w:eastAsia="標楷體" w:hAnsi="標楷體" w:cs="Times New Roman" w:hint="eastAsia"/>
                <w:sz w:val="28"/>
                <w:szCs w:val="28"/>
              </w:rPr>
              <w:t>降設備。</w:t>
            </w:r>
          </w:p>
        </w:tc>
        <w:tc>
          <w:tcPr>
            <w:tcW w:w="1843" w:type="dxa"/>
            <w:vAlign w:val="center"/>
          </w:tcPr>
          <w:p w:rsidR="00B24B28" w:rsidRPr="00B24B28" w:rsidRDefault="00B24B28" w:rsidP="00B24B28">
            <w:pPr>
              <w:adjustRightInd w:val="0"/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24B28" w:rsidRPr="00B24B28" w:rsidTr="009A488B">
        <w:trPr>
          <w:trHeight w:val="686"/>
        </w:trPr>
        <w:tc>
          <w:tcPr>
            <w:tcW w:w="1418" w:type="dxa"/>
            <w:vMerge/>
          </w:tcPr>
          <w:p w:rsidR="00B24B28" w:rsidRPr="00B24B28" w:rsidRDefault="00B24B28" w:rsidP="00B24B28">
            <w:pPr>
              <w:adjustRightIn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4B28" w:rsidRPr="00B24B28" w:rsidRDefault="00B24B28" w:rsidP="00B24B28">
            <w:pPr>
              <w:adjustRightIn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</w:p>
        </w:tc>
        <w:tc>
          <w:tcPr>
            <w:tcW w:w="4678" w:type="dxa"/>
            <w:vAlign w:val="center"/>
          </w:tcPr>
          <w:p w:rsidR="00B24B28" w:rsidRPr="00B24B28" w:rsidRDefault="00B24B28" w:rsidP="009A488B">
            <w:pPr>
              <w:adjustRightInd w:val="0"/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經審議會審議通過並經本府核定者。</w:t>
            </w:r>
          </w:p>
        </w:tc>
        <w:tc>
          <w:tcPr>
            <w:tcW w:w="1843" w:type="dxa"/>
          </w:tcPr>
          <w:p w:rsidR="00B24B28" w:rsidRPr="00B24B28" w:rsidRDefault="00B24B28" w:rsidP="00B24B28">
            <w:pPr>
              <w:adjustRightIn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81A16" w:rsidRPr="00B24B28" w:rsidRDefault="00D81A16" w:rsidP="00B24B28"/>
    <w:sectPr w:rsidR="00D81A16" w:rsidRPr="00B24B28" w:rsidSect="00B24B28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28"/>
    <w:rsid w:val="009A488B"/>
    <w:rsid w:val="00B24B28"/>
    <w:rsid w:val="00D8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2014-10-30T06:14:00Z</dcterms:created>
  <dcterms:modified xsi:type="dcterms:W3CDTF">2014-10-30T06:35:00Z</dcterms:modified>
</cp:coreProperties>
</file>